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BB6" w:rsidRDefault="00F57BB6" w:rsidP="00F57BB6">
      <w:r>
        <w:t>Wat de media berichtgeving betreft over de ontstekingsremmers (NSAI) en de mogelijke nevenwerkingen op het gebied van hart- en vaatziekten</w:t>
      </w:r>
      <w:r w:rsidR="005732E2">
        <w:t xml:space="preserve"> in een recente studie</w:t>
      </w:r>
      <w:r>
        <w:t xml:space="preserve">: die is zeker correct. </w:t>
      </w:r>
    </w:p>
    <w:p w:rsidR="00DE7ECB" w:rsidRDefault="00DE7ECB" w:rsidP="00F57BB6"/>
    <w:p w:rsidR="00F57BB6" w:rsidRDefault="00F57BB6" w:rsidP="00F57BB6">
      <w:r>
        <w:t xml:space="preserve">Daarenboven moet men naast de risico’s betreffende hart- en vaatlijden ook de risico’s voor </w:t>
      </w:r>
      <w:r w:rsidR="002F132F">
        <w:t xml:space="preserve">andere bijwerkingen zoals </w:t>
      </w:r>
      <w:r>
        <w:t>maag</w:t>
      </w:r>
      <w:r w:rsidR="00AB5DEE">
        <w:t>- en darm</w:t>
      </w:r>
      <w:r>
        <w:t xml:space="preserve">problemen </w:t>
      </w:r>
      <w:r w:rsidR="00DE7ECB">
        <w:t xml:space="preserve">en </w:t>
      </w:r>
      <w:r w:rsidR="005732E2">
        <w:t xml:space="preserve">vermindering van </w:t>
      </w:r>
      <w:r w:rsidR="00DE7ECB">
        <w:t>nier</w:t>
      </w:r>
      <w:r w:rsidR="005732E2">
        <w:t xml:space="preserve">functie </w:t>
      </w:r>
      <w:r>
        <w:t>niet vergeten.</w:t>
      </w:r>
    </w:p>
    <w:p w:rsidR="00F57BB6" w:rsidRDefault="00F57BB6" w:rsidP="00F57BB6">
      <w:r>
        <w:t xml:space="preserve">De besproken gegevens en risicofactoren vragen </w:t>
      </w:r>
      <w:r w:rsidR="00E16DD2">
        <w:t xml:space="preserve">echter </w:t>
      </w:r>
      <w:r>
        <w:t xml:space="preserve">duiding. De betekenis van de studie voor de praktijk </w:t>
      </w:r>
      <w:r w:rsidR="007777EB">
        <w:t xml:space="preserve">dient </w:t>
      </w:r>
      <w:r>
        <w:t>bekeken.</w:t>
      </w:r>
    </w:p>
    <w:p w:rsidR="001471D1" w:rsidRDefault="001471D1" w:rsidP="00F57BB6"/>
    <w:p w:rsidR="00F57BB6" w:rsidRDefault="00F57BB6" w:rsidP="00F57BB6">
      <w:r>
        <w:t xml:space="preserve">De relatieve risico’s van ontstekingsremmers </w:t>
      </w:r>
      <w:r w:rsidR="001471D1">
        <w:t xml:space="preserve">in het algemeen </w:t>
      </w:r>
      <w:r>
        <w:t>zijn natuurlijk al jaren bekend</w:t>
      </w:r>
      <w:r w:rsidR="001471D1">
        <w:t>,</w:t>
      </w:r>
      <w:r>
        <w:t xml:space="preserve"> </w:t>
      </w:r>
      <w:r w:rsidR="001471D1">
        <w:t xml:space="preserve"> </w:t>
      </w:r>
      <w:r w:rsidR="00386BB0">
        <w:t xml:space="preserve">prominent </w:t>
      </w:r>
      <w:r w:rsidR="001471D1">
        <w:t>in de aandacht gebracht</w:t>
      </w:r>
      <w:r>
        <w:t xml:space="preserve"> naar aanleiding van de </w:t>
      </w:r>
      <w:proofErr w:type="spellStart"/>
      <w:r w:rsidR="00AB5DEE">
        <w:t>Vioxx</w:t>
      </w:r>
      <w:proofErr w:type="spellEnd"/>
      <w:r w:rsidR="00AB5DEE">
        <w:t xml:space="preserve"> </w:t>
      </w:r>
      <w:r>
        <w:t xml:space="preserve">story begin jaren 2000. Ook dit medicament komt in de recente studie trouwens weer aan </w:t>
      </w:r>
      <w:r w:rsidR="00190435">
        <w:t xml:space="preserve">bod </w:t>
      </w:r>
      <w:r>
        <w:t xml:space="preserve">als meer risicovol maar is inmiddels van de markt. </w:t>
      </w:r>
      <w:r w:rsidR="001471D1">
        <w:t>T</w:t>
      </w:r>
      <w:r>
        <w:t>oen waren er al kritische geluiden te horen over</w:t>
      </w:r>
      <w:r w:rsidR="001471D1">
        <w:t xml:space="preserve"> andere ontstekingsremmers</w:t>
      </w:r>
      <w:r>
        <w:t xml:space="preserve"> </w:t>
      </w:r>
      <w:r w:rsidR="001471D1">
        <w:t xml:space="preserve">o.a. </w:t>
      </w:r>
      <w:proofErr w:type="spellStart"/>
      <w:r>
        <w:t>diclofenac</w:t>
      </w:r>
      <w:proofErr w:type="spellEnd"/>
      <w:r>
        <w:t>.</w:t>
      </w:r>
    </w:p>
    <w:p w:rsidR="001471D1" w:rsidRDefault="001471D1" w:rsidP="00F57BB6"/>
    <w:p w:rsidR="00F57BB6" w:rsidRDefault="00F57BB6" w:rsidP="00F57BB6">
      <w:r>
        <w:t xml:space="preserve">De beste duiding naar patienten toe is dus deze die de wetenschappelijke gegevens vertaalt naar de dagelijkse praktijk: </w:t>
      </w:r>
    </w:p>
    <w:p w:rsidR="00F57BB6" w:rsidRDefault="00F57BB6" w:rsidP="00F57BB6"/>
    <w:p w:rsidR="00F57BB6" w:rsidRDefault="00F57BB6" w:rsidP="00F57BB6">
      <w:r>
        <w:t>1/</w:t>
      </w:r>
      <w:r w:rsidRPr="00F57BB6">
        <w:rPr>
          <w:color w:val="FF0000"/>
        </w:rPr>
        <w:t>Elk medicijn heeft mogelijke nevenwerkingen</w:t>
      </w:r>
      <w:r>
        <w:t xml:space="preserve"> en bij het voorschrijven moet steeds een afweging gemaakt worden tussen mogelijke nevenwerkingen en de noodzaak van dit medicijn (</w:t>
      </w:r>
      <w:proofErr w:type="spellStart"/>
      <w:r>
        <w:t>ev</w:t>
      </w:r>
      <w:proofErr w:type="spellEnd"/>
      <w:r>
        <w:t xml:space="preserve"> alternatieve mogelijkheden steeds overwegen zoals andere medicijnen, kiné, hulpmiddelen en dergelijke) en dit steeds voor de persoon in kwestie (en dus niet theoretisch). Zo is bijvoorbeeld </w:t>
      </w:r>
      <w:r w:rsidR="00E16DD2">
        <w:t>de nood aan</w:t>
      </w:r>
      <w:r>
        <w:t xml:space="preserve"> ontstekingsremmers bij </w:t>
      </w:r>
      <w:proofErr w:type="spellStart"/>
      <w:r>
        <w:t>reumatoide</w:t>
      </w:r>
      <w:proofErr w:type="spellEnd"/>
      <w:r>
        <w:t xml:space="preserve"> artritis duidelijk afgenomen door het </w:t>
      </w:r>
      <w:r w:rsidR="007777EB">
        <w:t xml:space="preserve">gebruik </w:t>
      </w:r>
      <w:r>
        <w:t xml:space="preserve">van andere effectieve </w:t>
      </w:r>
      <w:proofErr w:type="spellStart"/>
      <w:r>
        <w:t>therapieen</w:t>
      </w:r>
      <w:proofErr w:type="spellEnd"/>
      <w:r w:rsidR="005732E2">
        <w:t xml:space="preserve">. </w:t>
      </w:r>
      <w:r w:rsidR="007777EB">
        <w:t>O</w:t>
      </w:r>
      <w:r>
        <w:t xml:space="preserve">ok bij artrose </w:t>
      </w:r>
      <w:r w:rsidR="007777EB">
        <w:t xml:space="preserve">bestaat </w:t>
      </w:r>
      <w:r>
        <w:t>al jaren een richtlijn die in eerste instantie pijnstillers</w:t>
      </w:r>
      <w:r w:rsidR="007777EB">
        <w:t xml:space="preserve"> (paracetamol)</w:t>
      </w:r>
      <w:r>
        <w:t xml:space="preserve"> en</w:t>
      </w:r>
      <w:r w:rsidR="00AB5DEE">
        <w:t xml:space="preserve"> een</w:t>
      </w:r>
      <w:r>
        <w:t xml:space="preserve"> </w:t>
      </w:r>
      <w:r w:rsidR="007777EB">
        <w:t xml:space="preserve">niet medicamenteuze </w:t>
      </w:r>
      <w:bookmarkStart w:id="0" w:name="_GoBack"/>
      <w:r w:rsidR="007777EB">
        <w:t xml:space="preserve">aanpak zoals educatie en kinesitherapie </w:t>
      </w:r>
      <w:r>
        <w:t>voorstelt</w:t>
      </w:r>
      <w:r w:rsidR="007777EB">
        <w:t>,</w:t>
      </w:r>
      <w:r>
        <w:t xml:space="preserve"> en </w:t>
      </w:r>
      <w:r w:rsidR="00F34EA4">
        <w:t xml:space="preserve">alleen </w:t>
      </w:r>
      <w:r w:rsidR="007777EB">
        <w:t xml:space="preserve">bij onvoldoende resultaat </w:t>
      </w:r>
      <w:r w:rsidR="001471D1">
        <w:t xml:space="preserve">aanvullend </w:t>
      </w:r>
      <w:r>
        <w:t>ontstekingsremmers</w:t>
      </w:r>
      <w:r w:rsidR="005732E2">
        <w:t>.</w:t>
      </w:r>
    </w:p>
    <w:bookmarkEnd w:id="0"/>
    <w:p w:rsidR="005732E2" w:rsidRDefault="005732E2" w:rsidP="00F57BB6"/>
    <w:p w:rsidR="00F57BB6" w:rsidRDefault="00F57BB6" w:rsidP="00F57BB6">
      <w:r>
        <w:t xml:space="preserve">2/Daarenboven zijn de beschreven nevenwerkingen in deze studie </w:t>
      </w:r>
      <w:r w:rsidRPr="00F57BB6">
        <w:rPr>
          <w:color w:val="FF0000"/>
        </w:rPr>
        <w:t>blijkbaar dosis afhankelijk</w:t>
      </w:r>
      <w:r>
        <w:t>. Dit betekent dat steeds de laagst effectieve dosis moet voorgeschreven/ingenomen</w:t>
      </w:r>
      <w:r w:rsidR="007777EB">
        <w:t xml:space="preserve"> worden</w:t>
      </w:r>
      <w:r>
        <w:t xml:space="preserve">. </w:t>
      </w:r>
      <w:r w:rsidR="007777EB">
        <w:t xml:space="preserve">Verder  zal </w:t>
      </w:r>
      <w:r>
        <w:t xml:space="preserve">men voor </w:t>
      </w:r>
      <w:r w:rsidR="007777EB">
        <w:t xml:space="preserve">pijn en stijfheid bij </w:t>
      </w:r>
      <w:r>
        <w:t xml:space="preserve">artrose met een </w:t>
      </w:r>
      <w:proofErr w:type="spellStart"/>
      <w:r>
        <w:t>intermittente</w:t>
      </w:r>
      <w:proofErr w:type="spellEnd"/>
      <w:r>
        <w:t xml:space="preserve"> therapie </w:t>
      </w:r>
      <w:r w:rsidR="007777EB">
        <w:t xml:space="preserve">werken, </w:t>
      </w:r>
      <w:r>
        <w:t>en niet met een continu gebruik van ontstekingsremmers.</w:t>
      </w:r>
    </w:p>
    <w:p w:rsidR="00F57BB6" w:rsidRDefault="00F57BB6" w:rsidP="00F57BB6"/>
    <w:p w:rsidR="00F57BB6" w:rsidRDefault="00F57BB6" w:rsidP="00F57BB6">
      <w:r>
        <w:t xml:space="preserve"> 3/In het artikel wordt ook vermeldt dat deze nevenwerkingen vooral gelden voor ouderen en </w:t>
      </w:r>
      <w:r w:rsidR="00BE2B24">
        <w:t xml:space="preserve">ook </w:t>
      </w:r>
      <w:r>
        <w:t xml:space="preserve">dit is </w:t>
      </w:r>
      <w:r w:rsidR="00BE2B24">
        <w:t>gekend</w:t>
      </w:r>
      <w:r>
        <w:t xml:space="preserve">: men dient steeds de afweging te maken naargelang de </w:t>
      </w:r>
      <w:r w:rsidRPr="00F57BB6">
        <w:rPr>
          <w:color w:val="FF0000"/>
        </w:rPr>
        <w:t>individuele risico’s</w:t>
      </w:r>
      <w:r>
        <w:t xml:space="preserve">. </w:t>
      </w:r>
      <w:r w:rsidR="00BE2B24">
        <w:t xml:space="preserve">Leeftijd is </w:t>
      </w:r>
      <w:r>
        <w:t xml:space="preserve">een risicofactor op meerdere niveaus (ook voor maaglijden en ontstekingsremmers) en in deze studie geldt dit ook voor </w:t>
      </w:r>
      <w:r w:rsidR="00BE2B24">
        <w:t xml:space="preserve">patiënten </w:t>
      </w:r>
      <w:r>
        <w:t xml:space="preserve">met bestaand hart- en vaatlijden. </w:t>
      </w:r>
    </w:p>
    <w:p w:rsidR="00F57BB6" w:rsidRDefault="00F57BB6" w:rsidP="00F57BB6"/>
    <w:p w:rsidR="00F57BB6" w:rsidRDefault="00F57BB6" w:rsidP="00F57BB6">
      <w:r>
        <w:t xml:space="preserve">4/De algemene boodschap is uiteraard dat elke </w:t>
      </w:r>
      <w:r w:rsidRPr="00F57BB6">
        <w:rPr>
          <w:color w:val="FF0000"/>
        </w:rPr>
        <w:t xml:space="preserve">patient zijn individuele situatie moet bespreken met zijn </w:t>
      </w:r>
      <w:r w:rsidR="00CB29BA">
        <w:rPr>
          <w:color w:val="FF0000"/>
        </w:rPr>
        <w:t xml:space="preserve">vertrouwde </w:t>
      </w:r>
      <w:r w:rsidRPr="00F57BB6">
        <w:rPr>
          <w:color w:val="FF0000"/>
        </w:rPr>
        <w:t>arts</w:t>
      </w:r>
      <w:r>
        <w:t xml:space="preserve">. Op eigen initiatief chronisch deze middelen gebruiken is niet aangewezen en de meeste zijn trouwens </w:t>
      </w:r>
      <w:proofErr w:type="spellStart"/>
      <w:r>
        <w:t>voorschriftplichtig</w:t>
      </w:r>
      <w:proofErr w:type="spellEnd"/>
      <w:r>
        <w:t>.</w:t>
      </w:r>
    </w:p>
    <w:p w:rsidR="00F57BB6" w:rsidRDefault="00F57BB6" w:rsidP="00F57BB6"/>
    <w:p w:rsidR="00F57BB6" w:rsidRDefault="00F57BB6" w:rsidP="00F57BB6">
      <w:r w:rsidRPr="00F57BB6">
        <w:t xml:space="preserve">5/Zelfs als men enkele risico’s bij zichzelf herkent moet dit niet onmiddellijk aanleiding zijn tot paniek. Als men een theoretisch risico op een hartinfarct heeft van 2% betekent een verdubbeling van het risico door ontstekingsremmers dat deze patient een theoretisch risico van 4% heeft. Bij deze risicofactoren moeten in de praktijk uiteraard steeds ook andere risicofactoren bekeken worden zoals roken, obesitas, hoge bloeddruk etc. </w:t>
      </w:r>
      <w:r w:rsidRPr="00F57BB6">
        <w:rPr>
          <w:color w:val="FF0000"/>
        </w:rPr>
        <w:t>Alle mogelijke risico’s moeten in de individuele situatie</w:t>
      </w:r>
      <w:r w:rsidR="00BE2B24">
        <w:rPr>
          <w:color w:val="FF0000"/>
        </w:rPr>
        <w:t xml:space="preserve"> worden</w:t>
      </w:r>
      <w:r w:rsidRPr="00F57BB6">
        <w:rPr>
          <w:color w:val="FF0000"/>
        </w:rPr>
        <w:t xml:space="preserve"> bekeken.</w:t>
      </w:r>
    </w:p>
    <w:p w:rsidR="002A571A" w:rsidRDefault="00F57BB6" w:rsidP="00F57BB6">
      <w:r>
        <w:tab/>
      </w:r>
    </w:p>
    <w:sectPr w:rsidR="002A5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BB6"/>
    <w:rsid w:val="001471D1"/>
    <w:rsid w:val="00190435"/>
    <w:rsid w:val="002A571A"/>
    <w:rsid w:val="002F132F"/>
    <w:rsid w:val="00333324"/>
    <w:rsid w:val="00386BB0"/>
    <w:rsid w:val="005732E2"/>
    <w:rsid w:val="005D1153"/>
    <w:rsid w:val="007777EB"/>
    <w:rsid w:val="00876134"/>
    <w:rsid w:val="0092739E"/>
    <w:rsid w:val="00AB5DEE"/>
    <w:rsid w:val="00BE2B24"/>
    <w:rsid w:val="00CB29BA"/>
    <w:rsid w:val="00DE7ECB"/>
    <w:rsid w:val="00E16DD2"/>
    <w:rsid w:val="00F34EA4"/>
    <w:rsid w:val="00F5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7777E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777E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777EB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777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7777EB"/>
    <w:rPr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7777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777EB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rsid w:val="007777EB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7777E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7777EB"/>
    <w:rPr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7777E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7777EB"/>
    <w:rPr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7777E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777EB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F6BB294B</Template>
  <TotalTime>1</TotalTime>
  <Pages>1</Pages>
  <Words>455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UZL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Westhovens</dc:creator>
  <cp:lastModifiedBy>Rene Westhovens</cp:lastModifiedBy>
  <cp:revision>2</cp:revision>
  <dcterms:created xsi:type="dcterms:W3CDTF">2013-02-19T18:20:00Z</dcterms:created>
  <dcterms:modified xsi:type="dcterms:W3CDTF">2013-02-19T18:20:00Z</dcterms:modified>
</cp:coreProperties>
</file>